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860" w:rsidRDefault="00A24860" w:rsidP="00487C2B">
      <w:pPr>
        <w:pStyle w:val="21"/>
        <w:shd w:val="clear" w:color="auto" w:fill="auto"/>
        <w:spacing w:before="0" w:after="0" w:line="322" w:lineRule="exact"/>
        <w:ind w:left="740" w:firstLine="560"/>
        <w:jc w:val="center"/>
        <w:rPr>
          <w:rStyle w:val="2"/>
          <w:b/>
          <w:color w:val="000000"/>
          <w:lang w:val="en-US"/>
        </w:rPr>
      </w:pPr>
    </w:p>
    <w:p w:rsidR="00A24860" w:rsidRDefault="00A24860" w:rsidP="00A24860">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24C557C" wp14:editId="057847B9">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4860" w:rsidRDefault="00A24860" w:rsidP="00A2486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24860" w:rsidRDefault="00A24860" w:rsidP="00A2486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24860" w:rsidRDefault="00A24860" w:rsidP="00A2486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24860" w:rsidRDefault="00A24860" w:rsidP="00A2486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24860" w:rsidRDefault="00A24860" w:rsidP="00A2486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24860" w:rsidRDefault="00A24860" w:rsidP="00A2486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7264373B" wp14:editId="09A7C70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87C2B" w:rsidRPr="00A24860" w:rsidRDefault="00487C2B" w:rsidP="00A24860">
      <w:pPr>
        <w:pStyle w:val="21"/>
        <w:shd w:val="clear" w:color="auto" w:fill="auto"/>
        <w:spacing w:before="0" w:after="0" w:line="240" w:lineRule="auto"/>
        <w:ind w:firstLine="567"/>
        <w:jc w:val="center"/>
        <w:rPr>
          <w:rStyle w:val="2"/>
          <w:b/>
          <w:color w:val="000000"/>
          <w:lang w:val="ru-RU"/>
        </w:rPr>
      </w:pPr>
      <w:r w:rsidRPr="00A24860">
        <w:rPr>
          <w:rStyle w:val="2"/>
          <w:b/>
          <w:color w:val="000000"/>
        </w:rPr>
        <w:t>Щодо порядку заповнення і подання Декларації акцизного податку платниками акцизного податку з транспортних засобів</w:t>
      </w:r>
    </w:p>
    <w:p w:rsidR="00487C2B" w:rsidRPr="00A24860" w:rsidRDefault="00487C2B" w:rsidP="00A24860">
      <w:pPr>
        <w:pStyle w:val="21"/>
        <w:shd w:val="clear" w:color="auto" w:fill="auto"/>
        <w:spacing w:before="0" w:after="0" w:line="240" w:lineRule="auto"/>
        <w:ind w:firstLine="567"/>
        <w:jc w:val="center"/>
      </w:pP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Нагадуємо, що відповідно до п. 223.2 ст. 223 Кодексу платники податку, визначені п. 212.1 ст. 212 Кодексу (крім імпортерів підакцизних товарів, зазначених у підпунктах 215.3.4, 215.3.5, 215.3.5</w:t>
      </w:r>
      <w:r w:rsidRPr="00A24860">
        <w:rPr>
          <w:rStyle w:val="2"/>
          <w:color w:val="000000"/>
          <w:vertAlign w:val="superscript"/>
        </w:rPr>
        <w:t>і</w:t>
      </w:r>
      <w:r w:rsidRPr="00A24860">
        <w:rPr>
          <w:rStyle w:val="2"/>
          <w:color w:val="000000"/>
        </w:rPr>
        <w:t>, 215.3.5</w:t>
      </w:r>
      <w:r w:rsidRPr="00A24860">
        <w:rPr>
          <w:rStyle w:val="2"/>
          <w:color w:val="000000"/>
          <w:vertAlign w:val="superscript"/>
        </w:rPr>
        <w:t>2</w:t>
      </w:r>
      <w:r w:rsidRPr="00A24860">
        <w:rPr>
          <w:rStyle w:val="2"/>
          <w:color w:val="000000"/>
        </w:rPr>
        <w:t>, 215.3.6, 215.3.7, 215.3.8 п. 215.3 ст. 215 Кодексу), подають щомісяця не пізніше 20 числа наступного звітного (податкового) періоду контролюючому органу за місцем реєстрації декларацію з акцизного податку (далі - Декларація) за формою та порядком (далі - Порядок), затвердженими наказом Міністерства фінансів України від 23.01.2015 № 14 (зі змінами).</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 xml:space="preserve">Платником заповнюються лише відповідний розділ і додатки до Декларації, які відповідають виду господарської діяльності платника, виду підакцизних товарів (продукції) (п. З </w:t>
      </w:r>
      <w:proofErr w:type="spellStart"/>
      <w:r w:rsidRPr="00A24860">
        <w:rPr>
          <w:rStyle w:val="2"/>
          <w:color w:val="000000"/>
        </w:rPr>
        <w:t>розд</w:t>
      </w:r>
      <w:proofErr w:type="spellEnd"/>
      <w:r w:rsidRPr="00A24860">
        <w:rPr>
          <w:rStyle w:val="2"/>
          <w:color w:val="000000"/>
        </w:rPr>
        <w:t>. III Порядку).</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У Декларації зазначаються платники, перелік яких визначено статтею 212 Кодексу. Для зазначення виду платника акцизного податку у відповідній клітинці рядка 05 загальної частини Декларації, що відповідає визначеному підпункту пункту 212.1 статті 212 Кодексу, згідно з яким суб'єкт господарювання є платником акцизного податку, в обов'язковому порядку проставляється позначка "X".</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Платники акцизного податку з транспортних засобів заповнюють розділ Г Декларації «Податкові зобов’язання з автомобілів легкових, кузовів до них, причепів та напівпричепів, мотоциклів (включаючи мопеди), велосипедів з допоміжним мотором, з колясками або без них, моторних транспортних засобів, призначених для перевезення 10 осіб і більше, моторних транспортних засобів для перевезення вантажів» та додаток І</w:t>
      </w:r>
      <w:r w:rsidRPr="00A24860">
        <w:rPr>
          <w:rStyle w:val="2"/>
          <w:color w:val="000000"/>
          <w:vertAlign w:val="superscript"/>
        </w:rPr>
        <w:t>3</w:t>
      </w:r>
      <w:r w:rsidRPr="00A24860">
        <w:rPr>
          <w:rStyle w:val="2"/>
          <w:color w:val="000000"/>
        </w:rPr>
        <w:t xml:space="preserve"> до Декларації «Розрахунок суми акцизного податку з транспортних засобів, що оподатковуються згідно із підпунктами 215.3.5, 215.3.5</w:t>
      </w:r>
      <w:r w:rsidRPr="00A24860">
        <w:rPr>
          <w:rStyle w:val="2"/>
          <w:color w:val="000000"/>
          <w:vertAlign w:val="superscript"/>
        </w:rPr>
        <w:t>і</w:t>
      </w:r>
      <w:r w:rsidRPr="00A24860">
        <w:rPr>
          <w:rStyle w:val="2"/>
          <w:color w:val="000000"/>
        </w:rPr>
        <w:t>, 215.3.5</w:t>
      </w:r>
      <w:r w:rsidRPr="00A24860">
        <w:rPr>
          <w:rStyle w:val="2"/>
          <w:color w:val="000000"/>
          <w:vertAlign w:val="superscript"/>
        </w:rPr>
        <w:t>2</w:t>
      </w:r>
      <w:r w:rsidRPr="00A24860">
        <w:rPr>
          <w:rStyle w:val="2"/>
          <w:color w:val="000000"/>
        </w:rPr>
        <w:t>, 215.3.6, 215.3.7, 215.3.8 пункту 215.3 статті 215 Кодексу» та щодо операцій, що звільняються від оподаткування акцизним податком, додаток 4 до Декларації «Обороти, що звільняються від оподаткування, оподатковуються за нульовою або за зниженою ставкою».</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У додатку І</w:t>
      </w:r>
      <w:r w:rsidRPr="00A24860">
        <w:rPr>
          <w:rStyle w:val="2"/>
          <w:color w:val="000000"/>
          <w:vertAlign w:val="superscript"/>
        </w:rPr>
        <w:t>3</w:t>
      </w:r>
      <w:r w:rsidRPr="00A24860">
        <w:rPr>
          <w:rStyle w:val="2"/>
          <w:color w:val="000000"/>
        </w:rPr>
        <w:t xml:space="preserve"> «Розрахунок суми акцизного податку з транспортних засобів, що оподатковуються згідно із підпунктами 215.3.5, 215.3.5 , 215.3.57 215.3.6, 215.3.7, 215.3.8 пункту 215.3 статті 215 Кодексу» заповнюється, зокрема:</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у графі 15 «Ставка акцизного податку з урахуванням коефіцієнтів, євро» проставляються специфічні ставки акцизного податку з одиниці транспортного засобу, встановлені п. 215.3 ст. 215 Кодексу, з урахуванням коефіцієнтів:</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 xml:space="preserve">для транспортних засобів з двигуном внутрішнього згоряння, що </w:t>
      </w:r>
      <w:r w:rsidRPr="00A24860">
        <w:rPr>
          <w:rStyle w:val="2"/>
          <w:color w:val="000000"/>
        </w:rPr>
        <w:lastRenderedPageBreak/>
        <w:t>класифікуються у товарній позиції 8703, - коефіцієнтів віку та двигуна;</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для транспортних засобів, що класифікуються у товарній позиції 8702, 8704, - коефіцієнтів для цих транспортних засобів;</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для транспортних засобів та причепів, напівпричепів, що класифікуються у товарній позиції 8707, 8711, 8716;</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у графі 16 «Сума податкового зобов’язання, яка підлягає сплаті до бюджету, грн» зазначаються суми, що підлягають сплаті до бюджету, обчислені з огляду на фактичні обсяги реалізації продукції та встановленої ставки акцизного податку у перерахунку на одиницю виміру товару (продукції) й офіційного курсу гривні до євро, встановленого Національним банком України, що діє на перший день кварталу, в якому здійснюються реалізація (передача) товару (продукції), видача документа про відповідність переобладнаного автомобіля вимогам безпеки дорожнього руху.</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Розділ Г заповнюється у такому порядку, зокрема:</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у четвертій графі рядків Г1 — Г7 зазначаються суми акцизного податку з підакцизних товарів (продукції), обчислені за формою згідно з додатком І</w:t>
      </w:r>
      <w:r w:rsidRPr="00A24860">
        <w:rPr>
          <w:rStyle w:val="2"/>
          <w:color w:val="000000"/>
          <w:vertAlign w:val="superscript"/>
        </w:rPr>
        <w:t>3</w:t>
      </w:r>
      <w:r w:rsidRPr="00A24860">
        <w:rPr>
          <w:rStyle w:val="2"/>
          <w:color w:val="000000"/>
        </w:rPr>
        <w:t xml:space="preserve"> до Декларації, яка заповнюється та надається із зазначенням у верхньому лівому куті додатка коду операції та рядка, визначених у першій графі розділу Г;</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у рядку Г8 зазначаються суми зменшення податкового зобов’язання з підакцизних товарів (продукції), обчислені за формою згідно з додатком І</w:t>
      </w:r>
      <w:r w:rsidRPr="00A24860">
        <w:rPr>
          <w:rStyle w:val="2"/>
          <w:color w:val="000000"/>
          <w:vertAlign w:val="superscript"/>
        </w:rPr>
        <w:t>3</w:t>
      </w:r>
      <w:r w:rsidRPr="00A24860">
        <w:rPr>
          <w:rStyle w:val="2"/>
          <w:color w:val="000000"/>
        </w:rPr>
        <w:t xml:space="preserve"> до Декларації:</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зменшення суми податку на суму, обчислену з повернених підакцизних товарів (продукції) платнику податку, що раніше були реалізовані або ввезені платником, як це передбачено п. 217.5 ст. 217 Кодексу;</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зменшення суми податку (в інших випадках коригування податкового зобов’язання на суму втрачених товарів (продукції), з яких не виникає податкове зобов’язання за обставин, перелічених у п. 216.3 ст. 216 Кодексу);</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 xml:space="preserve">у рядку Г9 проставляється сума пільг з операцій, що звільняються від оподаткування згідно з переліком таких операцій, зазначених у п. 213.3 ст. 213 </w:t>
      </w:r>
      <w:proofErr w:type="spellStart"/>
      <w:r w:rsidRPr="00A24860">
        <w:rPr>
          <w:rStyle w:val="2"/>
          <w:color w:val="000000"/>
        </w:rPr>
        <w:t>розд</w:t>
      </w:r>
      <w:proofErr w:type="spellEnd"/>
      <w:r w:rsidRPr="00A24860">
        <w:rPr>
          <w:rStyle w:val="2"/>
          <w:color w:val="000000"/>
        </w:rPr>
        <w:t>. VI Кодексу. Нарахування суми пільг з акцизного податку здійснюється за формами згідно з додатками І</w:t>
      </w:r>
      <w:r w:rsidRPr="00A24860">
        <w:rPr>
          <w:rStyle w:val="2"/>
          <w:color w:val="000000"/>
          <w:vertAlign w:val="superscript"/>
        </w:rPr>
        <w:t>3</w:t>
      </w:r>
      <w:r w:rsidRPr="00A24860">
        <w:rPr>
          <w:rStyle w:val="2"/>
          <w:color w:val="000000"/>
        </w:rPr>
        <w:t>, 4 до Декларації.</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Суми пільг з акцизного податку зазначаються за даними графи 10 додатка 4 до Декларації «Обороти, що звільняються від оподаткування, оподатковуються за нульовою або за зниженою ставкою»;</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у рядку Г10 зазначається сума податкових зобов’язань (сума показників рядків Г1 - Г7 за вирахуванням значення рядка Г8);</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 xml:space="preserve">у рядках Г10.1, Г10.7 проставляються суми податкового зобов’язання відповідно до кодів бюджетної класифікації, обчислені окремо з моторних транспортних засобів, призначених для перевезення 10 осіб і більше, включаючи водія (крім моторних транспортних засобів, зазначених у товарній позиції 8702 90 90 згідно з УКТ ЗЕД); автомобілів легкових та інших моторних транспортних засобів, призначених переважно для перевезення людей (крім моторних транспортних засобів, зазначених у товарній позиції 8702 згідно з УКТ ЗЕД), включаючи вантажопасажирські автомобілі-фургони, гоночні автомобілі; моторних транспортних засобів для перевезення вантажів; кузовів </w:t>
      </w:r>
      <w:r w:rsidRPr="00A24860">
        <w:rPr>
          <w:rStyle w:val="2"/>
          <w:color w:val="000000"/>
        </w:rPr>
        <w:lastRenderedPageBreak/>
        <w:t>для автомобілів, зазначених у товарній позиції 8703 згідно з УКТ ЗЕД; мотоциклів (включаючи мопеди) та велосипедів з допоміжним мотором, з колясками або без них; причепів та напівпричепів для тимчасового проживання у кемпінгах типу причіпних будиночків; автомобілів, які в установленому законодавством порядку подаються до органів внутрішніх справ України для реєстрації або перереєстрації у зв’язку зі зміною моделі транспортного засобу, яка до переобладнання під час ввезення відповідала товарній позиції 8704 згідно з УКТ ЗЕД, а після переобладнання відповідає товарній позиції 8703 згідно з УКТ ЗЕД.</w:t>
      </w:r>
    </w:p>
    <w:p w:rsidR="00487C2B" w:rsidRPr="00A24860" w:rsidRDefault="00487C2B" w:rsidP="00A24860">
      <w:pPr>
        <w:pStyle w:val="21"/>
        <w:shd w:val="clear" w:color="auto" w:fill="auto"/>
        <w:spacing w:before="0" w:after="0" w:line="240" w:lineRule="auto"/>
        <w:ind w:firstLine="567"/>
        <w:jc w:val="both"/>
      </w:pPr>
      <w:r w:rsidRPr="00A24860">
        <w:rPr>
          <w:rStyle w:val="2"/>
          <w:color w:val="000000"/>
        </w:rPr>
        <w:t xml:space="preserve">Разом з цим зазначаємо, що </w:t>
      </w:r>
      <w:proofErr w:type="spellStart"/>
      <w:r w:rsidRPr="00A24860">
        <w:rPr>
          <w:rStyle w:val="2"/>
          <w:color w:val="000000"/>
        </w:rPr>
        <w:t>п.п</w:t>
      </w:r>
      <w:proofErr w:type="spellEnd"/>
      <w:r w:rsidRPr="00A24860">
        <w:rPr>
          <w:rStyle w:val="2"/>
          <w:color w:val="000000"/>
        </w:rPr>
        <w:t xml:space="preserve">. 69.1 п. 69 </w:t>
      </w:r>
      <w:proofErr w:type="spellStart"/>
      <w:r w:rsidRPr="00A24860">
        <w:rPr>
          <w:rStyle w:val="2"/>
          <w:color w:val="000000"/>
        </w:rPr>
        <w:t>підрозд</w:t>
      </w:r>
      <w:proofErr w:type="spellEnd"/>
      <w:r w:rsidRPr="00A24860">
        <w:rPr>
          <w:rStyle w:val="2"/>
          <w:color w:val="000000"/>
        </w:rPr>
        <w:t xml:space="preserve">. 10 </w:t>
      </w:r>
      <w:proofErr w:type="spellStart"/>
      <w:r w:rsidRPr="00A24860">
        <w:rPr>
          <w:rStyle w:val="2"/>
          <w:color w:val="000000"/>
        </w:rPr>
        <w:t>розд</w:t>
      </w:r>
      <w:proofErr w:type="spellEnd"/>
      <w:r w:rsidRPr="00A24860">
        <w:rPr>
          <w:rStyle w:val="2"/>
          <w:color w:val="000000"/>
        </w:rPr>
        <w:t>. XX «Перехідні положення» Кодексу передбачено, що тимчасово, на період до припинення або скасування воєнного стану на території України, введеного Указом Президента України від 24 лютого 2022 року № 64/2022 «Про введення воєнного стану в Україні», затвердженим Законом України від 24 лютого 2022 року № 2102-ІХ «Про затвердження Указу Президента України «Про введення воєнного стану в Україні», справляння податків і зборів здійснюється з урахуванням особливостей, зокрема: у разі відсутності у платника податків можливості своєчасно виконати свій податковий обов’язок щодо дотримання термінів сплати податків та зборів, подання звітності, у тому числі звітності, передбаченої п. 46.2 ст. 46 цього Кодексу,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платники податків звільняються від передбаченої цим Кодексом відповідальності з обов’язковим виконанням таких обов’язків протягом шести місяців після припинення або скасування воєнного стану в Україні.</w:t>
      </w:r>
    </w:p>
    <w:p w:rsidR="00487C2B" w:rsidRDefault="00487C2B" w:rsidP="00A24860">
      <w:pPr>
        <w:pStyle w:val="21"/>
        <w:shd w:val="clear" w:color="auto" w:fill="auto"/>
        <w:spacing w:before="0" w:after="0" w:line="240" w:lineRule="auto"/>
        <w:ind w:firstLine="567"/>
        <w:jc w:val="both"/>
        <w:rPr>
          <w:rStyle w:val="2"/>
          <w:color w:val="000000"/>
          <w:lang w:val="en-US"/>
        </w:rPr>
      </w:pPr>
      <w:r w:rsidRPr="00A24860">
        <w:rPr>
          <w:rStyle w:val="2"/>
          <w:color w:val="000000"/>
        </w:rPr>
        <w:t>Порядок підтвердження можливості чи неможливості виконання платником податків обов’язків, визначених у цьому підпункті, та перелік документів на підтвердження затверджені наказом Міністерства фінансів України від 29.07.2022 № 225 «Про затвердження Порядку підтвердження можливості чи неможливості виконання платником податків обов’язків, визначених у підпункті 69.1 пункту 69 підрозділу 10 розділу XX «Перехідні положення» Податкового кодексу України, та переліків документів на підтвердження».</w:t>
      </w:r>
    </w:p>
    <w:p w:rsidR="00A24860" w:rsidRDefault="00A24860" w:rsidP="00A24860">
      <w:pPr>
        <w:pStyle w:val="21"/>
        <w:shd w:val="clear" w:color="auto" w:fill="auto"/>
        <w:spacing w:before="0" w:after="0" w:line="240" w:lineRule="auto"/>
        <w:ind w:firstLine="567"/>
        <w:jc w:val="both"/>
        <w:rPr>
          <w:rStyle w:val="2"/>
          <w:color w:val="000000"/>
          <w:lang w:val="en-US"/>
        </w:rPr>
      </w:pPr>
      <w:bookmarkStart w:id="1" w:name="_GoBack"/>
      <w:bookmarkEnd w:id="1"/>
    </w:p>
    <w:p w:rsidR="00A24860" w:rsidRDefault="00A24860" w:rsidP="00A24860">
      <w:pPr>
        <w:pStyle w:val="21"/>
        <w:shd w:val="clear" w:color="auto" w:fill="auto"/>
        <w:spacing w:before="0" w:after="0" w:line="240" w:lineRule="auto"/>
        <w:ind w:firstLine="567"/>
        <w:jc w:val="both"/>
        <w:rPr>
          <w:rStyle w:val="2"/>
          <w:color w:val="000000"/>
          <w:lang w:val="en-US"/>
        </w:rPr>
      </w:pPr>
    </w:p>
    <w:p w:rsidR="00A24860" w:rsidRDefault="00A24860" w:rsidP="00A24860">
      <w:pPr>
        <w:pStyle w:val="21"/>
        <w:shd w:val="clear" w:color="auto" w:fill="auto"/>
        <w:spacing w:before="0" w:after="0" w:line="240" w:lineRule="auto"/>
        <w:ind w:firstLine="567"/>
        <w:jc w:val="both"/>
        <w:rPr>
          <w:rStyle w:val="2"/>
          <w:color w:val="000000"/>
          <w:lang w:val="en-US"/>
        </w:rPr>
      </w:pPr>
    </w:p>
    <w:p w:rsidR="00A24860" w:rsidRDefault="00A24860" w:rsidP="00A24860">
      <w:pPr>
        <w:pStyle w:val="21"/>
        <w:shd w:val="clear" w:color="auto" w:fill="auto"/>
        <w:spacing w:before="0" w:after="0" w:line="240" w:lineRule="auto"/>
        <w:ind w:firstLine="567"/>
        <w:jc w:val="both"/>
        <w:rPr>
          <w:rStyle w:val="2"/>
          <w:color w:val="000000"/>
          <w:lang w:val="en-US"/>
        </w:rPr>
      </w:pPr>
    </w:p>
    <w:p w:rsidR="00A24860" w:rsidRDefault="00A24860" w:rsidP="00A24860">
      <w:pPr>
        <w:pStyle w:val="21"/>
        <w:shd w:val="clear" w:color="auto" w:fill="auto"/>
        <w:spacing w:before="0" w:after="0" w:line="240" w:lineRule="auto"/>
        <w:ind w:firstLine="567"/>
        <w:jc w:val="both"/>
        <w:rPr>
          <w:rStyle w:val="2"/>
          <w:color w:val="000000"/>
          <w:lang w:val="en-US"/>
        </w:rPr>
      </w:pPr>
    </w:p>
    <w:p w:rsidR="00A24860" w:rsidRDefault="00A24860" w:rsidP="00A24860">
      <w:pPr>
        <w:pStyle w:val="21"/>
        <w:shd w:val="clear" w:color="auto" w:fill="auto"/>
        <w:spacing w:before="0" w:after="0" w:line="240" w:lineRule="auto"/>
        <w:ind w:firstLine="567"/>
        <w:jc w:val="both"/>
        <w:rPr>
          <w:rStyle w:val="2"/>
          <w:color w:val="000000"/>
          <w:lang w:val="en-US"/>
        </w:rPr>
      </w:pPr>
    </w:p>
    <w:p w:rsidR="00A24860" w:rsidRPr="00A24860" w:rsidRDefault="00A24860" w:rsidP="00A24860">
      <w:pPr>
        <w:pStyle w:val="21"/>
        <w:shd w:val="clear" w:color="auto" w:fill="auto"/>
        <w:spacing w:before="0" w:after="0" w:line="240" w:lineRule="auto"/>
        <w:ind w:firstLine="567"/>
        <w:jc w:val="both"/>
        <w:rPr>
          <w:rStyle w:val="2"/>
          <w:color w:val="000000"/>
          <w:lang w:val="en-US"/>
        </w:rPr>
      </w:pPr>
    </w:p>
    <w:p w:rsidR="00A24860" w:rsidRPr="009B43D9" w:rsidRDefault="00A24860" w:rsidP="00A24860">
      <w:pPr>
        <w:spacing w:after="0" w:line="240" w:lineRule="auto"/>
        <w:jc w:val="both"/>
        <w:rPr>
          <w:rFonts w:ascii="Times New Roman" w:hAnsi="Times New Roman" w:cs="Times New Roman"/>
          <w:sz w:val="20"/>
          <w:szCs w:val="20"/>
        </w:rPr>
      </w:pPr>
      <w:r w:rsidRPr="009B43D9">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9B43D9">
        <w:rPr>
          <w:rFonts w:ascii="Times New Roman" w:hAnsi="Times New Roman" w:cs="Times New Roman"/>
          <w:sz w:val="20"/>
          <w:szCs w:val="20"/>
        </w:rPr>
        <w:t>-</w:t>
      </w:r>
      <w:r w:rsidRPr="00EA716F">
        <w:rPr>
          <w:rFonts w:ascii="Times New Roman" w:hAnsi="Times New Roman" w:cs="Times New Roman"/>
          <w:sz w:val="20"/>
          <w:szCs w:val="20"/>
          <w:lang w:val="en-US"/>
        </w:rPr>
        <w:t>mail</w:t>
      </w:r>
      <w:r w:rsidRPr="009B43D9">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9B43D9">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9B43D9">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9B43D9">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9B43D9">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A24860" w:rsidRPr="00EA716F" w:rsidRDefault="00A24860" w:rsidP="00A24860">
      <w:pPr>
        <w:spacing w:after="0" w:line="240" w:lineRule="auto"/>
        <w:jc w:val="both"/>
        <w:rPr>
          <w:rFonts w:ascii="Times New Roman" w:hAnsi="Times New Roman" w:cs="Times New Roman"/>
          <w:sz w:val="20"/>
          <w:szCs w:val="20"/>
        </w:rPr>
      </w:pPr>
      <w:proofErr w:type="spellStart"/>
      <w:r w:rsidRPr="00EA716F">
        <w:rPr>
          <w:rFonts w:ascii="Times New Roman" w:hAnsi="Times New Roman" w:cs="Times New Roman"/>
          <w:sz w:val="20"/>
          <w:szCs w:val="20"/>
        </w:rPr>
        <w:t>тел</w:t>
      </w:r>
      <w:proofErr w:type="spellEnd"/>
      <w:r w:rsidRPr="00EA716F">
        <w:rPr>
          <w:rFonts w:ascii="Times New Roman" w:hAnsi="Times New Roman" w:cs="Times New Roman"/>
          <w:sz w:val="20"/>
          <w:szCs w:val="20"/>
        </w:rPr>
        <w:t xml:space="preserve">.(0472) 33-91-34                                                                           </w:t>
      </w:r>
      <w:hyperlink r:id="rId7" w:history="1">
        <w:r w:rsidRPr="00EA716F">
          <w:rPr>
            <w:rStyle w:val="a5"/>
            <w:rFonts w:ascii="Times New Roman" w:hAnsi="Times New Roman" w:cs="Times New Roman"/>
            <w:sz w:val="20"/>
            <w:szCs w:val="20"/>
          </w:rPr>
          <w:t>https://ck.tax.gov.ua/</w:t>
        </w:r>
      </w:hyperlink>
    </w:p>
    <w:p w:rsidR="00A24860" w:rsidRPr="00A24860" w:rsidRDefault="00A24860" w:rsidP="00487C2B">
      <w:pPr>
        <w:pStyle w:val="21"/>
        <w:shd w:val="clear" w:color="auto" w:fill="auto"/>
        <w:spacing w:before="0" w:after="0" w:line="317" w:lineRule="exact"/>
        <w:ind w:left="720" w:firstLine="560"/>
        <w:jc w:val="both"/>
      </w:pPr>
    </w:p>
    <w:p w:rsidR="007E1E95" w:rsidRDefault="007E1E95"/>
    <w:sectPr w:rsidR="007E1E95" w:rsidSect="00A2486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C2B"/>
    <w:rsid w:val="00487C2B"/>
    <w:rsid w:val="007E1E95"/>
    <w:rsid w:val="00A248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487C2B"/>
    <w:rPr>
      <w:rFonts w:ascii="Times New Roman" w:hAnsi="Times New Roman" w:cs="Times New Roman"/>
      <w:sz w:val="28"/>
      <w:szCs w:val="28"/>
      <w:shd w:val="clear" w:color="auto" w:fill="FFFFFF"/>
    </w:rPr>
  </w:style>
  <w:style w:type="paragraph" w:customStyle="1" w:styleId="21">
    <w:name w:val="Основной текст (2)1"/>
    <w:basedOn w:val="a"/>
    <w:link w:val="2"/>
    <w:uiPriority w:val="99"/>
    <w:rsid w:val="00487C2B"/>
    <w:pPr>
      <w:widowControl w:val="0"/>
      <w:shd w:val="clear" w:color="auto" w:fill="FFFFFF"/>
      <w:spacing w:before="120" w:after="240" w:line="326" w:lineRule="exact"/>
      <w:ind w:hanging="280"/>
    </w:pPr>
    <w:rPr>
      <w:rFonts w:ascii="Times New Roman" w:hAnsi="Times New Roman" w:cs="Times New Roman"/>
      <w:sz w:val="28"/>
      <w:szCs w:val="28"/>
    </w:rPr>
  </w:style>
  <w:style w:type="paragraph" w:styleId="a3">
    <w:name w:val="Balloon Text"/>
    <w:basedOn w:val="a"/>
    <w:link w:val="a4"/>
    <w:uiPriority w:val="99"/>
    <w:semiHidden/>
    <w:unhideWhenUsed/>
    <w:rsid w:val="00A248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4860"/>
    <w:rPr>
      <w:rFonts w:ascii="Tahoma" w:hAnsi="Tahoma" w:cs="Tahoma"/>
      <w:sz w:val="16"/>
      <w:szCs w:val="16"/>
    </w:rPr>
  </w:style>
  <w:style w:type="character" w:styleId="a5">
    <w:name w:val="Hyperlink"/>
    <w:uiPriority w:val="99"/>
    <w:rsid w:val="00A2486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487C2B"/>
    <w:rPr>
      <w:rFonts w:ascii="Times New Roman" w:hAnsi="Times New Roman" w:cs="Times New Roman"/>
      <w:sz w:val="28"/>
      <w:szCs w:val="28"/>
      <w:shd w:val="clear" w:color="auto" w:fill="FFFFFF"/>
    </w:rPr>
  </w:style>
  <w:style w:type="paragraph" w:customStyle="1" w:styleId="21">
    <w:name w:val="Основной текст (2)1"/>
    <w:basedOn w:val="a"/>
    <w:link w:val="2"/>
    <w:uiPriority w:val="99"/>
    <w:rsid w:val="00487C2B"/>
    <w:pPr>
      <w:widowControl w:val="0"/>
      <w:shd w:val="clear" w:color="auto" w:fill="FFFFFF"/>
      <w:spacing w:before="120" w:after="240" w:line="326" w:lineRule="exact"/>
      <w:ind w:hanging="280"/>
    </w:pPr>
    <w:rPr>
      <w:rFonts w:ascii="Times New Roman" w:hAnsi="Times New Roman" w:cs="Times New Roman"/>
      <w:sz w:val="28"/>
      <w:szCs w:val="28"/>
    </w:rPr>
  </w:style>
  <w:style w:type="paragraph" w:styleId="a3">
    <w:name w:val="Balloon Text"/>
    <w:basedOn w:val="a"/>
    <w:link w:val="a4"/>
    <w:uiPriority w:val="99"/>
    <w:semiHidden/>
    <w:unhideWhenUsed/>
    <w:rsid w:val="00A248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4860"/>
    <w:rPr>
      <w:rFonts w:ascii="Tahoma" w:hAnsi="Tahoma" w:cs="Tahoma"/>
      <w:sz w:val="16"/>
      <w:szCs w:val="16"/>
    </w:rPr>
  </w:style>
  <w:style w:type="character" w:styleId="a5">
    <w:name w:val="Hyperlink"/>
    <w:uiPriority w:val="99"/>
    <w:rsid w:val="00A248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73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5192</Words>
  <Characters>2961</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2022-09-27T06:07:00Z</dcterms:created>
  <dcterms:modified xsi:type="dcterms:W3CDTF">2022-09-28T05:57:00Z</dcterms:modified>
</cp:coreProperties>
</file>